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C44" w:rsidRPr="00617C44" w:rsidRDefault="00617C44">
      <w:pPr>
        <w:pStyle w:val="ConsPlusNormal"/>
        <w:jc w:val="both"/>
        <w:rPr>
          <w:rFonts w:ascii="Times New Roman" w:hAnsi="Times New Roman" w:cs="Times New Roman"/>
          <w:sz w:val="24"/>
          <w:szCs w:val="24"/>
        </w:rPr>
      </w:pPr>
      <w:bookmarkStart w:id="0" w:name="_GoBack"/>
    </w:p>
    <w:p w:rsidR="00617C44" w:rsidRPr="00617C44" w:rsidRDefault="00617C44">
      <w:pPr>
        <w:pStyle w:val="ConsPlusTitle"/>
        <w:jc w:val="center"/>
        <w:rPr>
          <w:rFonts w:ascii="Times New Roman" w:hAnsi="Times New Roman" w:cs="Times New Roman"/>
          <w:sz w:val="24"/>
          <w:szCs w:val="24"/>
        </w:rPr>
      </w:pPr>
      <w:r w:rsidRPr="00617C44">
        <w:rPr>
          <w:rFonts w:ascii="Times New Roman" w:hAnsi="Times New Roman" w:cs="Times New Roman"/>
          <w:sz w:val="24"/>
          <w:szCs w:val="24"/>
        </w:rPr>
        <w:t>МИНИСТЕРСТВО ТРУДА И СОЦИАЛЬНОЙ ЗАЩИТЫ РОССИЙСКОЙ ФЕДЕРАЦИИ</w:t>
      </w:r>
    </w:p>
    <w:p w:rsidR="00617C44" w:rsidRPr="00617C44" w:rsidRDefault="00617C44">
      <w:pPr>
        <w:pStyle w:val="ConsPlusTitle"/>
        <w:jc w:val="center"/>
        <w:rPr>
          <w:rFonts w:ascii="Times New Roman" w:hAnsi="Times New Roman" w:cs="Times New Roman"/>
          <w:sz w:val="24"/>
          <w:szCs w:val="24"/>
        </w:rPr>
      </w:pPr>
    </w:p>
    <w:p w:rsidR="00617C44" w:rsidRPr="00617C44" w:rsidRDefault="00617C44">
      <w:pPr>
        <w:pStyle w:val="ConsPlusTitle"/>
        <w:jc w:val="center"/>
        <w:rPr>
          <w:rFonts w:ascii="Times New Roman" w:hAnsi="Times New Roman" w:cs="Times New Roman"/>
          <w:sz w:val="24"/>
          <w:szCs w:val="24"/>
        </w:rPr>
      </w:pPr>
      <w:r w:rsidRPr="00617C44">
        <w:rPr>
          <w:rFonts w:ascii="Times New Roman" w:hAnsi="Times New Roman" w:cs="Times New Roman"/>
          <w:sz w:val="24"/>
          <w:szCs w:val="24"/>
        </w:rPr>
        <w:t>ПИСЬМО</w:t>
      </w:r>
    </w:p>
    <w:p w:rsidR="00617C44" w:rsidRPr="00617C44" w:rsidRDefault="00617C44">
      <w:pPr>
        <w:pStyle w:val="ConsPlusTitle"/>
        <w:jc w:val="center"/>
        <w:rPr>
          <w:rFonts w:ascii="Times New Roman" w:hAnsi="Times New Roman" w:cs="Times New Roman"/>
          <w:sz w:val="24"/>
          <w:szCs w:val="24"/>
        </w:rPr>
      </w:pPr>
      <w:r w:rsidRPr="00617C44">
        <w:rPr>
          <w:rFonts w:ascii="Times New Roman" w:hAnsi="Times New Roman" w:cs="Times New Roman"/>
          <w:sz w:val="24"/>
          <w:szCs w:val="24"/>
        </w:rPr>
        <w:t>от 13 ноября 2015 г. N 18-2/10/П-7073</w:t>
      </w:r>
    </w:p>
    <w:p w:rsidR="00617C44" w:rsidRPr="00617C44" w:rsidRDefault="00617C44">
      <w:pPr>
        <w:pStyle w:val="ConsPlusTitle"/>
        <w:jc w:val="center"/>
        <w:rPr>
          <w:rFonts w:ascii="Times New Roman" w:hAnsi="Times New Roman" w:cs="Times New Roman"/>
          <w:sz w:val="24"/>
          <w:szCs w:val="24"/>
        </w:rPr>
      </w:pPr>
    </w:p>
    <w:p w:rsidR="00617C44" w:rsidRPr="00617C44" w:rsidRDefault="00617C44">
      <w:pPr>
        <w:pStyle w:val="ConsPlusTitle"/>
        <w:jc w:val="center"/>
        <w:rPr>
          <w:rFonts w:ascii="Times New Roman" w:hAnsi="Times New Roman" w:cs="Times New Roman"/>
          <w:sz w:val="24"/>
          <w:szCs w:val="24"/>
        </w:rPr>
      </w:pPr>
      <w:r w:rsidRPr="00617C44">
        <w:rPr>
          <w:rFonts w:ascii="Times New Roman" w:hAnsi="Times New Roman" w:cs="Times New Roman"/>
          <w:sz w:val="24"/>
          <w:szCs w:val="24"/>
        </w:rPr>
        <w:t>О КРИТЕРИЯХ</w:t>
      </w:r>
    </w:p>
    <w:p w:rsidR="00617C44" w:rsidRPr="00617C44" w:rsidRDefault="00617C44">
      <w:pPr>
        <w:pStyle w:val="ConsPlusTitle"/>
        <w:jc w:val="center"/>
        <w:rPr>
          <w:rFonts w:ascii="Times New Roman" w:hAnsi="Times New Roman" w:cs="Times New Roman"/>
          <w:sz w:val="24"/>
          <w:szCs w:val="24"/>
        </w:rPr>
      </w:pPr>
      <w:r w:rsidRPr="00617C44">
        <w:rPr>
          <w:rFonts w:ascii="Times New Roman" w:hAnsi="Times New Roman" w:cs="Times New Roman"/>
          <w:sz w:val="24"/>
          <w:szCs w:val="24"/>
        </w:rPr>
        <w:t>ПРИВЛЕЧЕНИЯ К ОТВЕТСТВЕННОСТИ</w:t>
      </w:r>
    </w:p>
    <w:p w:rsidR="00617C44" w:rsidRPr="00617C44" w:rsidRDefault="00617C44">
      <w:pPr>
        <w:pStyle w:val="ConsPlusTitle"/>
        <w:jc w:val="center"/>
        <w:rPr>
          <w:rFonts w:ascii="Times New Roman" w:hAnsi="Times New Roman" w:cs="Times New Roman"/>
          <w:sz w:val="24"/>
          <w:szCs w:val="24"/>
        </w:rPr>
      </w:pPr>
      <w:r w:rsidRPr="00617C44">
        <w:rPr>
          <w:rFonts w:ascii="Times New Roman" w:hAnsi="Times New Roman" w:cs="Times New Roman"/>
          <w:sz w:val="24"/>
          <w:szCs w:val="24"/>
        </w:rPr>
        <w:t>ЗА КОРРУПЦИОННЫЕ ПРАВОНАРУШЕНИЯ</w:t>
      </w: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Минтрудом России направлены для использования в работе </w:t>
      </w:r>
      <w:hyperlink w:anchor="P17" w:history="1">
        <w:r w:rsidRPr="00617C44">
          <w:rPr>
            <w:rFonts w:ascii="Times New Roman" w:hAnsi="Times New Roman" w:cs="Times New Roman"/>
            <w:color w:val="0000FF"/>
            <w:sz w:val="24"/>
            <w:szCs w:val="24"/>
          </w:rPr>
          <w:t>Методические рекомендации</w:t>
        </w:r>
      </w:hyperlink>
      <w:r w:rsidRPr="00617C44">
        <w:rPr>
          <w:rFonts w:ascii="Times New Roman" w:hAnsi="Times New Roman" w:cs="Times New Roman"/>
          <w:sz w:val="24"/>
          <w:szCs w:val="24"/>
        </w:rPr>
        <w:t xml:space="preserve"> по привлечению к ответственности государственных (муниципальных) служащих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(далее - Методические рекомендации), подготовленные в рамках реализации </w:t>
      </w:r>
      <w:hyperlink r:id="rId5" w:history="1">
        <w:r w:rsidRPr="00617C44">
          <w:rPr>
            <w:rFonts w:ascii="Times New Roman" w:hAnsi="Times New Roman" w:cs="Times New Roman"/>
            <w:color w:val="0000FF"/>
            <w:sz w:val="24"/>
            <w:szCs w:val="24"/>
          </w:rPr>
          <w:t>подпункта "в" пункта 25</w:t>
        </w:r>
      </w:hyperlink>
      <w:r w:rsidRPr="00617C44">
        <w:rPr>
          <w:rFonts w:ascii="Times New Roman" w:hAnsi="Times New Roman" w:cs="Times New Roman"/>
          <w:sz w:val="24"/>
          <w:szCs w:val="24"/>
        </w:rP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и во исполнение подпункта "б" пункта 6 перечня поручений Президента Российской Федерации по итогам заседания Совета при Президенте Российской Федерации по противодействию коррупции от 30 октября 2013 г. N Пр-2689.</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Просим довести </w:t>
      </w:r>
      <w:hyperlink w:anchor="P17" w:history="1">
        <w:r w:rsidRPr="00617C44">
          <w:rPr>
            <w:rFonts w:ascii="Times New Roman" w:hAnsi="Times New Roman" w:cs="Times New Roman"/>
            <w:color w:val="0000FF"/>
            <w:sz w:val="24"/>
            <w:szCs w:val="24"/>
          </w:rPr>
          <w:t>Методические рекомендации</w:t>
        </w:r>
      </w:hyperlink>
      <w:r w:rsidRPr="00617C44">
        <w:rPr>
          <w:rFonts w:ascii="Times New Roman" w:hAnsi="Times New Roman" w:cs="Times New Roman"/>
          <w:sz w:val="24"/>
          <w:szCs w:val="24"/>
        </w:rPr>
        <w:t xml:space="preserve"> до сведения подразделений кадровых служб по профилактике коррупционных и иных правонарушений (должностных лиц кадровых служб, ответственных за работу по профилактике коррупционных и иных правонарушений) органов государственной власти субъектов Российской Федерации и органов местного самоуправления.</w:t>
      </w: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jc w:val="center"/>
        <w:rPr>
          <w:rFonts w:ascii="Times New Roman" w:hAnsi="Times New Roman" w:cs="Times New Roman"/>
          <w:sz w:val="24"/>
          <w:szCs w:val="24"/>
        </w:rPr>
      </w:pPr>
      <w:bookmarkStart w:id="1" w:name="P17"/>
      <w:bookmarkEnd w:id="1"/>
      <w:r w:rsidRPr="00617C44">
        <w:rPr>
          <w:rFonts w:ascii="Times New Roman" w:hAnsi="Times New Roman" w:cs="Times New Roman"/>
          <w:sz w:val="24"/>
          <w:szCs w:val="24"/>
        </w:rPr>
        <w:t>МЕТОДИЧЕСКИЕ РЕКОМЕНДАЦИИ</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ПО ПРИВЛЕЧЕНИЮ К ОТВЕТСТВЕННОСТИ ГОСУДАРСТВЕННЫХ</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(МУНИЦИПАЛЬНЫХ) СЛУЖАЩИХ ЗА НЕСОБЛЮДЕНИЕ ОГРАНИЧЕНИЙ</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И ЗАПРЕТОВ, ТРЕБОВАНИЙ О ПРЕДОТВРАЩЕНИИ</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ИЛИ ОБ УРЕГУЛИРОВАНИИ КОНФЛИКТА ИНТЕРЕСОВ</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И НЕИСПОЛНЕНИЕ ОБЯЗАННОСТЕЙ, УСТАНОВЛЕННЫХ</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В ЦЕЛЯХ ПРОТИВОДЕЙСТВИЯ КОРРУПЦИИ</w:t>
      </w: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 Методические рекомендации по привлечению государственных (муниципальных) служащих к ответственности подготовлены для обеспечения единообразного подхода к назначению дисциплинарных взысканий (далее - взыскания) в случаях несоблюдения государственными (муниципальными) служащими (далее - служащие) ограничений и запретов, требований о предотвращении или урегулировании конфликта интересов и (или) неисполнения ими обязанностей, установленных законодательством о противодействии коррупции (далее - нарушения требований законодательства о противодействии коррупции).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2. Не образует коррупционного проступка и не влечет применения взысканий:</w:t>
      </w:r>
    </w:p>
    <w:p w:rsidR="00617C44" w:rsidRPr="00617C44" w:rsidRDefault="00617C44">
      <w:pPr>
        <w:pStyle w:val="ConsPlusNormal"/>
        <w:ind w:firstLine="540"/>
        <w:jc w:val="both"/>
        <w:rPr>
          <w:rFonts w:ascii="Times New Roman" w:hAnsi="Times New Roman" w:cs="Times New Roman"/>
          <w:sz w:val="24"/>
          <w:szCs w:val="24"/>
        </w:rPr>
      </w:pPr>
      <w:bookmarkStart w:id="2" w:name="P27"/>
      <w:bookmarkEnd w:id="2"/>
      <w:r w:rsidRPr="00617C44">
        <w:rPr>
          <w:rFonts w:ascii="Times New Roman" w:hAnsi="Times New Roman" w:cs="Times New Roman"/>
          <w:sz w:val="24"/>
          <w:szCs w:val="24"/>
        </w:rPr>
        <w:t xml:space="preserve">а) ненадлежащее соблюдение запрета, исполнение обязанности вследствие непреодолимой силы, то есть чрезвычайных и непредотвратимых при данных условиях обстоятельств (пожар, наводнение, военные действия и т.д.), которые объективно </w:t>
      </w:r>
      <w:r w:rsidRPr="00617C44">
        <w:rPr>
          <w:rFonts w:ascii="Times New Roman" w:hAnsi="Times New Roman" w:cs="Times New Roman"/>
          <w:sz w:val="24"/>
          <w:szCs w:val="24"/>
        </w:rPr>
        <w:lastRenderedPageBreak/>
        <w:t>препятствуют представлению сведений о доходах, расходах, об имуществе и обязательствах имущественного характера в установленный законодательством срок или получению документов, необходимых для достоверного и полного отражения данных сведений, соблюдению иного запрета или обязанности;</w:t>
      </w:r>
    </w:p>
    <w:p w:rsidR="00617C44" w:rsidRPr="00617C44" w:rsidRDefault="00617C44">
      <w:pPr>
        <w:pStyle w:val="ConsPlusNormal"/>
        <w:ind w:firstLine="540"/>
        <w:jc w:val="both"/>
        <w:rPr>
          <w:rFonts w:ascii="Times New Roman" w:hAnsi="Times New Roman" w:cs="Times New Roman"/>
          <w:sz w:val="24"/>
          <w:szCs w:val="24"/>
        </w:rPr>
      </w:pPr>
      <w:bookmarkStart w:id="3" w:name="P28"/>
      <w:bookmarkEnd w:id="3"/>
      <w:r w:rsidRPr="00617C44">
        <w:rPr>
          <w:rFonts w:ascii="Times New Roman" w:hAnsi="Times New Roman" w:cs="Times New Roman"/>
          <w:sz w:val="24"/>
          <w:szCs w:val="24"/>
        </w:rPr>
        <w:t xml:space="preserve">б) ошибочное (неточное) указание сведений в справке о доходах, расходах, об имуществе и обязательствах имущественного характера (далее - Справка) вследствие ошибок и неточностей, допущенных государственным органом или иной организацией в выданных служащему документах (выписках), на основании которых им заполнялась Справка (ошибка в </w:t>
      </w:r>
      <w:hyperlink r:id="rId6" w:history="1">
        <w:r w:rsidRPr="00617C44">
          <w:rPr>
            <w:rFonts w:ascii="Times New Roman" w:hAnsi="Times New Roman" w:cs="Times New Roman"/>
            <w:color w:val="0000FF"/>
            <w:sz w:val="24"/>
            <w:szCs w:val="24"/>
          </w:rPr>
          <w:t>справке 2-НДФЛ</w:t>
        </w:r>
      </w:hyperlink>
      <w:r w:rsidRPr="00617C44">
        <w:rPr>
          <w:rFonts w:ascii="Times New Roman" w:hAnsi="Times New Roman" w:cs="Times New Roman"/>
          <w:sz w:val="24"/>
          <w:szCs w:val="24"/>
        </w:rPr>
        <w:t>, выписке по счету, выданной кредитной организацией и т.п.), а также иных причин, когда неточность в представленных сведениях возникла по причинам, независящим от служащего.</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Обстоятельства, указанные в </w:t>
      </w:r>
      <w:hyperlink w:anchor="P27" w:history="1">
        <w:r w:rsidRPr="00617C44">
          <w:rPr>
            <w:rFonts w:ascii="Times New Roman" w:hAnsi="Times New Roman" w:cs="Times New Roman"/>
            <w:color w:val="0000FF"/>
            <w:sz w:val="24"/>
            <w:szCs w:val="24"/>
          </w:rPr>
          <w:t>подпунктах "а"</w:t>
        </w:r>
      </w:hyperlink>
      <w:r w:rsidRPr="00617C44">
        <w:rPr>
          <w:rFonts w:ascii="Times New Roman" w:hAnsi="Times New Roman" w:cs="Times New Roman"/>
          <w:sz w:val="24"/>
          <w:szCs w:val="24"/>
        </w:rPr>
        <w:t xml:space="preserve"> и </w:t>
      </w:r>
      <w:hyperlink w:anchor="P28" w:history="1">
        <w:r w:rsidRPr="00617C44">
          <w:rPr>
            <w:rFonts w:ascii="Times New Roman" w:hAnsi="Times New Roman" w:cs="Times New Roman"/>
            <w:color w:val="0000FF"/>
            <w:sz w:val="24"/>
            <w:szCs w:val="24"/>
          </w:rPr>
          <w:t>"б" пункта 2</w:t>
        </w:r>
      </w:hyperlink>
      <w:r w:rsidRPr="00617C44">
        <w:rPr>
          <w:rFonts w:ascii="Times New Roman" w:hAnsi="Times New Roman" w:cs="Times New Roman"/>
          <w:sz w:val="24"/>
          <w:szCs w:val="24"/>
        </w:rPr>
        <w:t>, должны быть отражены в письменных пояснениях служащего, представляемых в подразделение по профилактике коррупционных и иных правонарушений, или подтверждены иными документами;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в) заполнение служащим Справки в ином, не общепринятом, орфографическом порядке, при котором сохраняется смысловое содержание данных в Справке, либо когда заполнены разделы, графы Справки, не подлежащие заполнению. Например:</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некорректное указание почтового адреса (вместо правильного написания "проспект Строителей" или "пр-т Строителей" указывается "пр. Строителей", вместо правильного написания "г. Волгоград" указывается "Волгоград" и т.д.);</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некорректное указание наименования, адреса кредитной организации, с учетом правильного предоставления иной информации по соответствующему разделу Справки (к примеру, указан не юридический адрес банка, а фактический адрес его филиала, в котором открыт счет, неправильно указана организационно-правовая форма кредитной организации - вместо ПАО "ВТБ 24" указано ВТБ 24, ВТБ и т.п.);</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указание сведений о расходах, о сумме поступивших на счет денежных средств в отсутствии правовых оснований для представления данных сведений;</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указание срочных обязательств финансового характера на сумму менее 500 000 рублей и т.д.;</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г) представление служащим в установленный законодательством срок уточненных и достоверных сведений о доходах и имуществе, при условии, что служащий самостоятельно обнаружил в представленных им Справках не отраженные или не полностью отраженные сведения.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3. Соответствующие должностные лица при приеме Справок обязаны принимать меры к выявлению явных неточностей, описок или ошибок, допущенных служащим, которые в целом не искажают достоверность представленных сведений и могут быть устранены путем получения от служащего уточняющей информации и внесения ее служащим в Справку. Примером явной ошибки, не влекущей утаивание объекта недвижимости, может быть ситуация, когда на титульном листе Справки указывается квартира, как место регистрации, но в разделах 3.1 или 6.1 Справки в качестве объекта собственности или объекта, находящегося в пользовании, эта квартира не указана.</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4. За нарушение требований законодательства о противодействии коррупции применяются следующие виды взысканий:</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а) замечание;</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б) выговор;</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в) строгий выговор (для государственных служащих, замещающих должности военной и правоохранительной службы);</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г) предупреждение о неполном служебном (должностном) соответствии;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д) увольнение с государственной (муниципальной) службы в связи с утратой доверия.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5. При определении конкретного вида взыскания, которое подлежит применению, должны учитываться следующие критерии: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lastRenderedPageBreak/>
        <w:t>а) характер и тяжесть совершенного нарушения;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б) обстоятельства, при которых совершено нарушение;</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в) соблюдение служащим других запретов, исполнение других обязанностей, установленных в целях противодействия коррупции;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г) предшествующие результаты исполнения служащим своих должностных обязанностей.</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6. Анализ дисциплинарной практики государственных (муниципальных) органов показывает, что взыскания в виде увольнения служащего с государственной (муниципальной) службы в связи с утратой доверия применялись, к примеру, в случаях:</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а) сокрытия доходов, имущества, источники происхождения которых служащий не мог пояснить или стоимость которых не соответствовала его доходам;</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б) значительного завышения служащим общей суммы доходов, вкладов в банках и иных кредитных организациях, либо полученных кредитов с целью финансового обоснования сделок по приобретению земельных участков, объектов недвижимого имущества, транспортных средств, ценных бумаг;</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в) указания цены сделки по приобретению земельных участков, объектов недвижимого имущества, транспортных средств, ценных бумаг, существенно ниже рыночной, для создания видимости соответствия расходов доходам служащего;</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г) сокрытия факта наличия банковских счетов, движение денежных средств по которым в течение отчетного года не могло быть объяснено исходя из доходов служащего;</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д) сокрытия информации о фактах получения доходов от продажи имущества по цене существенно выше рыночной;</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е) сокрытия информации о фактах получения кредитов на льготных условиях от банков и иных кредитных организаций, в отношении которых служащий выполнял функции государственного (муниципального) управления;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ж) иных обстоятельств, наличие которых могло вызвать объективные сомнения в правомерности полученных доходов или приобретении на законные доходы имущества, информация о которых была неполной либо недостоверной.</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Примерный перечень ситуаций, которые могут быть расценены как значительные проступки, влекущие увольнение служащего в связи с утратой доверия, представлен в </w:t>
      </w:r>
      <w:hyperlink w:anchor="P95" w:history="1">
        <w:r w:rsidRPr="00617C44">
          <w:rPr>
            <w:rFonts w:ascii="Times New Roman" w:hAnsi="Times New Roman" w:cs="Times New Roman"/>
            <w:color w:val="0000FF"/>
            <w:sz w:val="24"/>
            <w:szCs w:val="24"/>
          </w:rPr>
          <w:t>приложении N 1</w:t>
        </w:r>
      </w:hyperlink>
      <w:r w:rsidRPr="00617C44">
        <w:rPr>
          <w:rFonts w:ascii="Times New Roman" w:hAnsi="Times New Roman" w:cs="Times New Roman"/>
          <w:sz w:val="24"/>
          <w:szCs w:val="24"/>
        </w:rPr>
        <w:t>.</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Соответствующим руководителем может быть принято решение об увольнении служащего и в иных случаях, когда тяжесть и обстоятельства допущенного нарушения свидетельствуют об утрате доверия к служащему со стороны руководства.</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7. Взыскание в виде замечания применяется к гражданским (муниципальным) служащим в случае малозначительности совершенного им проступка с обязательным рассмотрением материалов на заседании комиссии по соблюдению требований к служебному поведению государственных (муниципальных) служащих и урегулированию конфликта интересов (далее - комиссия).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Взыскание в виде замечания или выговора применяется к федеральным государственным служащим, замещающим должности государственной службы иных видов, в случае малозначительности совершенного ими проступка с обязательным рассмотрением на заседании аттестационной комиссии.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Примерный перечень ситуаций, которые могут быть расценены как малозначительные проступки, приведен в </w:t>
      </w:r>
      <w:hyperlink w:anchor="P141" w:history="1">
        <w:r w:rsidRPr="00617C44">
          <w:rPr>
            <w:rFonts w:ascii="Times New Roman" w:hAnsi="Times New Roman" w:cs="Times New Roman"/>
            <w:color w:val="0000FF"/>
            <w:sz w:val="24"/>
            <w:szCs w:val="24"/>
          </w:rPr>
          <w:t>приложении N 2</w:t>
        </w:r>
      </w:hyperlink>
      <w:r w:rsidRPr="00617C44">
        <w:rPr>
          <w:rFonts w:ascii="Times New Roman" w:hAnsi="Times New Roman" w:cs="Times New Roman"/>
          <w:sz w:val="24"/>
          <w:szCs w:val="24"/>
        </w:rPr>
        <w:t>.</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8. При определении взыскания следует учитывать отягчающие и смягчающие обстоятельства совершения соответствующего нарушения требований законодательства о противодействии коррупции.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9. В случаях впервые совершенных несущественных проступков, примерный перечень которых приведен в </w:t>
      </w:r>
      <w:hyperlink w:anchor="P168" w:history="1">
        <w:r w:rsidRPr="00617C44">
          <w:rPr>
            <w:rFonts w:ascii="Times New Roman" w:hAnsi="Times New Roman" w:cs="Times New Roman"/>
            <w:color w:val="0000FF"/>
            <w:sz w:val="24"/>
            <w:szCs w:val="24"/>
          </w:rPr>
          <w:t>приложении N 3</w:t>
        </w:r>
      </w:hyperlink>
      <w:r w:rsidRPr="00617C44">
        <w:rPr>
          <w:rFonts w:ascii="Times New Roman" w:hAnsi="Times New Roman" w:cs="Times New Roman"/>
          <w:sz w:val="24"/>
          <w:szCs w:val="24"/>
        </w:rPr>
        <w:t>, и при отсутствии отягчающих обстоятельств, взыскания могут не применяться.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lastRenderedPageBreak/>
        <w:t>10. В качестве отягчающих обстоятельств могут рассматриваться: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а) представление в ходе проверки недостоверных и противоречивых объяснений, совершение иных действий, направленных на затруднение хода проверки;</w:t>
      </w:r>
    </w:p>
    <w:p w:rsidR="00617C44" w:rsidRPr="00617C44" w:rsidRDefault="00617C44">
      <w:pPr>
        <w:pStyle w:val="ConsPlusNormal"/>
        <w:ind w:firstLine="540"/>
        <w:jc w:val="both"/>
        <w:rPr>
          <w:rFonts w:ascii="Times New Roman" w:hAnsi="Times New Roman" w:cs="Times New Roman"/>
          <w:sz w:val="24"/>
          <w:szCs w:val="24"/>
        </w:rPr>
      </w:pPr>
      <w:bookmarkStart w:id="4" w:name="P65"/>
      <w:bookmarkEnd w:id="4"/>
      <w:r w:rsidRPr="00617C44">
        <w:rPr>
          <w:rFonts w:ascii="Times New Roman" w:hAnsi="Times New Roman" w:cs="Times New Roman"/>
          <w:sz w:val="24"/>
          <w:szCs w:val="24"/>
        </w:rPr>
        <w:t>б) одновременное нарушение двух и более требований законодательства о противодействии коррупции;</w:t>
      </w:r>
    </w:p>
    <w:p w:rsidR="00617C44" w:rsidRPr="00617C44" w:rsidRDefault="00617C44">
      <w:pPr>
        <w:pStyle w:val="ConsPlusNormal"/>
        <w:ind w:firstLine="540"/>
        <w:jc w:val="both"/>
        <w:rPr>
          <w:rFonts w:ascii="Times New Roman" w:hAnsi="Times New Roman" w:cs="Times New Roman"/>
          <w:sz w:val="24"/>
          <w:szCs w:val="24"/>
        </w:rPr>
      </w:pPr>
      <w:bookmarkStart w:id="5" w:name="P66"/>
      <w:bookmarkEnd w:id="5"/>
      <w:r w:rsidRPr="00617C44">
        <w:rPr>
          <w:rFonts w:ascii="Times New Roman" w:hAnsi="Times New Roman" w:cs="Times New Roman"/>
          <w:sz w:val="24"/>
          <w:szCs w:val="24"/>
        </w:rPr>
        <w:t>в) наличие неснятого дисциплинарного взыскания;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г) нарушение требований законодательства о противодействии коррупции в рамках предыдущих декларационных кампаний.</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11. В качестве смягчающих обстоятельств могут рассматриваться: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а) совершение служащим нарушения требований законодательства о противодействии коррупции впервые;</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б) безукоризненное соблюдение служащим в отчетном периоде других запретов, исполнение обязанностей, установленных в целях противодействия коррупции;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в) эффективное выполнение особо важных и сложных заданий;</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г) наличие поощрений в отчетном периоде (государственные и ведомственные награды, почетные грамоты, благодарности и т.п.);</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д) добровольное сообщение о совершенном нарушении требований законодательства о противодействии коррупции в подразделение по профилактике коррупционных и иных правонарушений до начала проверки, предусмотренной </w:t>
      </w:r>
      <w:hyperlink r:id="rId7" w:history="1">
        <w:r w:rsidRPr="00617C44">
          <w:rPr>
            <w:rFonts w:ascii="Times New Roman" w:hAnsi="Times New Roman" w:cs="Times New Roman"/>
            <w:color w:val="0000FF"/>
            <w:sz w:val="24"/>
            <w:szCs w:val="24"/>
          </w:rPr>
          <w:t>Указом</w:t>
        </w:r>
      </w:hyperlink>
      <w:r w:rsidRPr="00617C44">
        <w:rPr>
          <w:rFonts w:ascii="Times New Roman" w:hAnsi="Times New Roman" w:cs="Times New Roman"/>
          <w:sz w:val="24"/>
          <w:szCs w:val="24"/>
        </w:rPr>
        <w:t xml:space="preserve"> Президента Российской Федерации от 21 сентября 2009 г. N 1065.</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Наличие обстоятельств, указанных в </w:t>
      </w:r>
      <w:hyperlink w:anchor="P65" w:history="1">
        <w:r w:rsidRPr="00617C44">
          <w:rPr>
            <w:rFonts w:ascii="Times New Roman" w:hAnsi="Times New Roman" w:cs="Times New Roman"/>
            <w:color w:val="0000FF"/>
            <w:sz w:val="24"/>
            <w:szCs w:val="24"/>
          </w:rPr>
          <w:t>подпунктах "б"</w:t>
        </w:r>
      </w:hyperlink>
      <w:r w:rsidRPr="00617C44">
        <w:rPr>
          <w:rFonts w:ascii="Times New Roman" w:hAnsi="Times New Roman" w:cs="Times New Roman"/>
          <w:sz w:val="24"/>
          <w:szCs w:val="24"/>
        </w:rPr>
        <w:t xml:space="preserve"> и </w:t>
      </w:r>
      <w:hyperlink w:anchor="P66" w:history="1">
        <w:r w:rsidRPr="00617C44">
          <w:rPr>
            <w:rFonts w:ascii="Times New Roman" w:hAnsi="Times New Roman" w:cs="Times New Roman"/>
            <w:color w:val="0000FF"/>
            <w:sz w:val="24"/>
            <w:szCs w:val="24"/>
          </w:rPr>
          <w:t>"в" пункта 10</w:t>
        </w:r>
      </w:hyperlink>
      <w:r w:rsidRPr="00617C44">
        <w:rPr>
          <w:rFonts w:ascii="Times New Roman" w:hAnsi="Times New Roman" w:cs="Times New Roman"/>
          <w:sz w:val="24"/>
          <w:szCs w:val="24"/>
        </w:rPr>
        <w:t>, рекомендуется определять путем получения у непосредственного руководителя служащего характеризующих его данных.</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12. При наличии смягчающих обстоятельств может быть применено взыскание, предшествующее по степени строгости взысканию, которое было бы применено в случае совершения такого нарушения в отсутствие смягчающих обстоятельств.</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13. При наличии отягчающих обстоятельств рекомендуется применять взыскание, следующее по степени строгости, взысканию, которое было бы применено в случае совершения такого нарушения в отсутствие смягчающих обстоятельств.</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14. Наряду с обозначенными смягчающими и отягчающими обстоятельствами на практике могут возникать иные обстоятельства, которые целесообразно учитывать при принятии решения о привлечении служащего к ответственности.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15. В докладе подразделения по итогам проверки, а в случае, если доклад рассматривался на заседании комиссии, также в решении комиссии должно содержаться обоснование решения, предлагаемого к принятию руководителем, исходя из анализа нарушения требований законодательства о противодействии коррупции с учетом подходов, изложенных в настоящих методических рекомендациях.</w:t>
      </w: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Приложение N 1</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к Методическим рекомендациям</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по привлечению к ответственности</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государственных (муниципальных)</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служащих за несоблюдение ограничений</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и запретов, требований о предотвращении</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или об урегулировании конфликта</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интересов, неисполнение обязанностей,</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установленных в целях</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противодействия коррупции</w:t>
      </w:r>
    </w:p>
    <w:p w:rsidR="00617C44" w:rsidRPr="00617C44" w:rsidRDefault="00617C44">
      <w:pPr>
        <w:pStyle w:val="ConsPlusNormal"/>
        <w:jc w:val="center"/>
        <w:rPr>
          <w:rFonts w:ascii="Times New Roman" w:hAnsi="Times New Roman" w:cs="Times New Roman"/>
          <w:sz w:val="24"/>
          <w:szCs w:val="24"/>
        </w:rPr>
      </w:pPr>
    </w:p>
    <w:p w:rsidR="00617C44" w:rsidRPr="00617C44" w:rsidRDefault="00617C44">
      <w:pPr>
        <w:pStyle w:val="ConsPlusNormal"/>
        <w:jc w:val="center"/>
        <w:rPr>
          <w:rFonts w:ascii="Times New Roman" w:hAnsi="Times New Roman" w:cs="Times New Roman"/>
          <w:sz w:val="24"/>
          <w:szCs w:val="24"/>
        </w:rPr>
      </w:pPr>
      <w:bookmarkStart w:id="6" w:name="P95"/>
      <w:bookmarkEnd w:id="6"/>
      <w:r w:rsidRPr="00617C44">
        <w:rPr>
          <w:rFonts w:ascii="Times New Roman" w:hAnsi="Times New Roman" w:cs="Times New Roman"/>
          <w:sz w:val="24"/>
          <w:szCs w:val="24"/>
        </w:rPr>
        <w:t>ПРИМЕРНЫЙ ПЕРЕЧЕНЬ</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СИТУАЦИЙ, КОТОРЫЕ МОГУТ БЫТЬ РАСЦЕНЕНЫ КАК ЗНАЧИТЕЛЬНЫЕ</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ПРОСТУПКИ, ВЛЕКУЩИЕ УВОЛЬНЕНИЕ ГОСУДАРСТВЕННОГО</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(МУНИЦИПАЛЬНОГО) СЛУЖАЩЕГО В СВЯЗИ С УТРАТОЙ ДОВЕРИЯ</w:t>
      </w:r>
    </w:p>
    <w:p w:rsidR="00617C44" w:rsidRPr="00617C44" w:rsidRDefault="00617C44">
      <w:pPr>
        <w:pStyle w:val="ConsPlusNormal"/>
        <w:jc w:val="center"/>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 Не представлены сведения о своих доходах, расходах, имуществе, обязательствах имущественного характера.</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2. Не представлены сведения о доходах, расходах, имуществе, обязательствах имущественного характера супруги (супруга) и/или несовершеннолетних детей и при этом служащий не обратился в подразделение по профилактике коррупционных и иных правонарушений с заявлением о невозможности сделать это по объективным причинам.</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3. Служащим указаны недостоверные сведения о доходах (величина ошибки более 20% от размера общего дохода служащего и членов его семьи в год).</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4. Сокрыты факты приобретения земельных участков, объектов недвижимого имущества, транспортных средств, ценных бумаг, стоимость которых служащий не может объяснить исходя из своего официального дохода. При этом сокрытие факта приобретения имущества может осуществляться, например, путем:</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а) </w:t>
      </w:r>
      <w:proofErr w:type="spellStart"/>
      <w:r w:rsidRPr="00617C44">
        <w:rPr>
          <w:rFonts w:ascii="Times New Roman" w:hAnsi="Times New Roman" w:cs="Times New Roman"/>
          <w:sz w:val="24"/>
          <w:szCs w:val="24"/>
        </w:rPr>
        <w:t>неуказания</w:t>
      </w:r>
      <w:proofErr w:type="spellEnd"/>
      <w:r w:rsidRPr="00617C44">
        <w:rPr>
          <w:rFonts w:ascii="Times New Roman" w:hAnsi="Times New Roman" w:cs="Times New Roman"/>
          <w:sz w:val="24"/>
          <w:szCs w:val="24"/>
        </w:rPr>
        <w:t xml:space="preserve"> соответствующих сведений о расходах в разделе 2 Справки и одновременного </w:t>
      </w:r>
      <w:proofErr w:type="spellStart"/>
      <w:r w:rsidRPr="00617C44">
        <w:rPr>
          <w:rFonts w:ascii="Times New Roman" w:hAnsi="Times New Roman" w:cs="Times New Roman"/>
          <w:sz w:val="24"/>
          <w:szCs w:val="24"/>
        </w:rPr>
        <w:t>неуказания</w:t>
      </w:r>
      <w:proofErr w:type="spellEnd"/>
      <w:r w:rsidRPr="00617C44">
        <w:rPr>
          <w:rFonts w:ascii="Times New Roman" w:hAnsi="Times New Roman" w:cs="Times New Roman"/>
          <w:sz w:val="24"/>
          <w:szCs w:val="24"/>
        </w:rPr>
        <w:t xml:space="preserve"> сведений о приобретенном имуществе в разделе 3 и (или) в разделе 5 Справки;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б) </w:t>
      </w:r>
      <w:proofErr w:type="spellStart"/>
      <w:r w:rsidRPr="00617C44">
        <w:rPr>
          <w:rFonts w:ascii="Times New Roman" w:hAnsi="Times New Roman" w:cs="Times New Roman"/>
          <w:sz w:val="24"/>
          <w:szCs w:val="24"/>
        </w:rPr>
        <w:t>неуказания</w:t>
      </w:r>
      <w:proofErr w:type="spellEnd"/>
      <w:r w:rsidRPr="00617C44">
        <w:rPr>
          <w:rFonts w:ascii="Times New Roman" w:hAnsi="Times New Roman" w:cs="Times New Roman"/>
          <w:sz w:val="24"/>
          <w:szCs w:val="24"/>
        </w:rPr>
        <w:t xml:space="preserve"> соответствующих сведений о расходах в разделе 2 Справки, при том, что сведения о появившемся в отчетном периоде имуществе указаны в разделе 3 и (или) в разделе 5 Справки.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5. Сокрыт банковский счет, движение денежных средств по которому в течение отчетного года не может быть объяснено исходя из доходов служащего.</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6. Представлены недостоверные сведения, способствующие сокрытию информации о наличии конфликта интересов, в том числе:</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а) о получении доходов от организации, в отношении которой служащий выполняет функции государственного (муниципального) управления (доходов от работы по совместительству, доходов от ценных бумаг, чтения лекций и т.п.). Особое внимание следует уделять ситуациям, когда не только сокрыт факт получения дохода от организации, но и нет уведомления служащего о намерении выполнять иную оплачиваемую работу;</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б) о получении доходов от продажи имущества по цене, существенно выше рыночной, если покупателем является организация, в отношении которой служащий выполняет функции государственного (муниципального) управления;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в) о получении кредитов, займов от организации, в отношении которой служащий выполняет функции государственного (муниципального) управления;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г) о наличии в собственности у служащего и (или) его супруги (супруга) и несовершеннолетнего ребенка приносящих доход ценных бумаг организации, в отношении которой служащий выполняет функции государственного (муниципального) управления;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д) о появлении в собственности у служащего и (или) его супруги (супруга) и несовершеннолетнего ребенка земельных участков, объектов недвижимого имущества и (или) транспортного средства, приобретенного на льготных условиях (по цене существенно ниже рыночной) у организации, в отношении которой служащий выполняет функции государственного (муниципального) управления.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7. Представление недостоверных сведений, способствующих сокрытию информации о нарушении запретов, например:</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а) о получении служащим дохода от предпринимательской деятельности;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б) о владении акциями, долями участия в коммерческих организациях, при том, что </w:t>
      </w:r>
      <w:r w:rsidRPr="00617C44">
        <w:rPr>
          <w:rFonts w:ascii="Times New Roman" w:hAnsi="Times New Roman" w:cs="Times New Roman"/>
          <w:sz w:val="24"/>
          <w:szCs w:val="24"/>
        </w:rPr>
        <w:lastRenderedPageBreak/>
        <w:t>служащий фактически участвует в управлении этой коммерческой организацией;</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в) для лиц, указанных в </w:t>
      </w:r>
      <w:hyperlink r:id="rId8" w:history="1">
        <w:r w:rsidRPr="00617C44">
          <w:rPr>
            <w:rFonts w:ascii="Times New Roman" w:hAnsi="Times New Roman" w:cs="Times New Roman"/>
            <w:color w:val="0000FF"/>
            <w:sz w:val="24"/>
            <w:szCs w:val="24"/>
          </w:rPr>
          <w:t>части 1 статьи 2</w:t>
        </w:r>
      </w:hyperlink>
      <w:r w:rsidRPr="00617C44">
        <w:rPr>
          <w:rFonts w:ascii="Times New Roman" w:hAnsi="Times New Roman" w:cs="Times New Roman"/>
          <w:sz w:val="24"/>
          <w:szCs w:val="24"/>
        </w:rPr>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о владении (пользовании) иностранными финансовыми инструментами;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о наличии счета (счетов) в иностранном(</w:t>
      </w:r>
      <w:proofErr w:type="spellStart"/>
      <w:r w:rsidRPr="00617C44">
        <w:rPr>
          <w:rFonts w:ascii="Times New Roman" w:hAnsi="Times New Roman" w:cs="Times New Roman"/>
          <w:sz w:val="24"/>
          <w:szCs w:val="24"/>
        </w:rPr>
        <w:t>ых</w:t>
      </w:r>
      <w:proofErr w:type="spellEnd"/>
      <w:r w:rsidRPr="00617C44">
        <w:rPr>
          <w:rFonts w:ascii="Times New Roman" w:hAnsi="Times New Roman" w:cs="Times New Roman"/>
          <w:sz w:val="24"/>
          <w:szCs w:val="24"/>
        </w:rPr>
        <w:t>) банке(банках).</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8. Представление недостоверных сведений с целью сокрытия факта наличия у служащего и (или) его супруги (супруга) и несовершеннолетних детей объектов недвижимого имущества в целях получения единовременной субсидии на приобретение жилого помещения.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9. Сокрытие сведений о находящемся в собственности недвижимом имуществе, расположенном за пределами Российской Федерации.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10. Значительное завышение общей суммы полученных доходов либо указание реально не полученных служащим доходов с целью обоснования факта приобретения недвижимого имущества на законные доходы.</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11. Значительное завышение общей суммы вкладов в банках и иных кредитных организациях с целью обоснования факта приобретения недвижимого имущества (может осуществляться, когда указывается якобы имеющийся вклад в кредитной организации);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12. Существенное завышение общей суммы полученных кредитов и займов, которые играют или могут сыграть ключевую роль в обосновании приобретения недвижимого имущества (может осуществляться путем завышения сумм реально полученных кредитов, а также указания кредитов и займов, которые служащий не получал);</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13. Указание в разделе 2 Справки заниженной стоимости совершенных сделок по приобретению земельных участков, объектов недвижимого имущества, транспортных средств, ценных бумаг, с тем чтобы такие сделки можно было объяснить исходя из доходов служащего.</w:t>
      </w: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Приложение N 2</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к Методическим рекомендациям</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по привлечению к ответственности</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государственных (муниципальных)</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служащих за несоблюдение ограничений</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и запретов, требований о предотвращении</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или об урегулировании конфликта</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интересов, неисполнение обязанностей,</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установленных в целях</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противодействия коррупции</w:t>
      </w:r>
    </w:p>
    <w:p w:rsidR="00617C44" w:rsidRPr="00617C44" w:rsidRDefault="00617C44">
      <w:pPr>
        <w:pStyle w:val="ConsPlusNormal"/>
        <w:jc w:val="center"/>
        <w:rPr>
          <w:rFonts w:ascii="Times New Roman" w:hAnsi="Times New Roman" w:cs="Times New Roman"/>
          <w:sz w:val="24"/>
          <w:szCs w:val="24"/>
        </w:rPr>
      </w:pPr>
    </w:p>
    <w:p w:rsidR="00617C44" w:rsidRPr="00617C44" w:rsidRDefault="00617C44">
      <w:pPr>
        <w:pStyle w:val="ConsPlusNormal"/>
        <w:jc w:val="center"/>
        <w:rPr>
          <w:rFonts w:ascii="Times New Roman" w:hAnsi="Times New Roman" w:cs="Times New Roman"/>
          <w:sz w:val="24"/>
          <w:szCs w:val="24"/>
        </w:rPr>
      </w:pPr>
      <w:bookmarkStart w:id="7" w:name="P141"/>
      <w:bookmarkEnd w:id="7"/>
      <w:r w:rsidRPr="00617C44">
        <w:rPr>
          <w:rFonts w:ascii="Times New Roman" w:hAnsi="Times New Roman" w:cs="Times New Roman"/>
          <w:sz w:val="24"/>
          <w:szCs w:val="24"/>
        </w:rPr>
        <w:t>ПРИМЕРНЫЙ ПЕРЕЧЕНЬ</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СИТУАЦИЙ, КОТОРЫЕ МОГУТ БЫТЬ РАСЦЕНЕНЫ</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КАК МАЛОЗНАЧИТЕЛЬНЫЕ ПРОСТУПКИ</w:t>
      </w:r>
    </w:p>
    <w:p w:rsidR="00617C44" w:rsidRPr="00617C44" w:rsidRDefault="00617C44">
      <w:pPr>
        <w:pStyle w:val="ConsPlusNormal"/>
        <w:jc w:val="center"/>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 Не указан доход от преподавательской деятельности (чтения лекций, проведения семинаров, тренингов) в организациях, в отношении которых служащий не осуществляет функции государственного (муниципального) управления.</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2. Не указаны сведения об участии в коммерческой организации, при этом у </w:t>
      </w:r>
      <w:r w:rsidRPr="00617C44">
        <w:rPr>
          <w:rFonts w:ascii="Times New Roman" w:hAnsi="Times New Roman" w:cs="Times New Roman"/>
          <w:sz w:val="24"/>
          <w:szCs w:val="24"/>
        </w:rPr>
        <w:lastRenderedPageBreak/>
        <w:t>соответствующей организации отсутствует хозяйственная деятельность в течение 3 и более лет, предшествующих подаче Справки, и нет сомнений в отсутствии коррупционной составляющей в действиях (бездействии) служащего.</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3. Не представлены сведения о доходе от вклада в банке, если полученная сумма была переведена на банковский счет служащего, средства со счета не снимались, при этом в Справке отражены полные и достоверные сведения об этом счете.</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4. Не указаны сведения о ветхом частном доме, расположенном в среднестатистическом дачном некоммерческом товариществе, при общем доходе семьи служащего из трех человек менее 1,5 млн. рублей в год.</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5. Служащим повторно совершены незначительные проступки, например, указана некорректная площадь объекта недвижимого имущества, при этом величина ошибки не превышает 5% от реальной площади данного объекта.</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6. Не указан доход от продажи транспортного средства за сумму менее 300 000 рублей при общем доходе семьи из трех человек менее 1,5 млн. рублей в год.</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7. Служащий не уведомил представителя нанимателя (работодателя) о попытке представителя юридического или физического лица, обратившегося в государственный орган (орган местного самоуправления) либо к соответствующему должностному лицу, склонить служащего к совершению коррупционного правонарушения.</w:t>
      </w: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Приложение N 3</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к Методическим рекомендациям</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по привлечению к ответственности</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государственных (муниципальных)</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служащих за несоблюдение ограничений</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и запретов, требований о предотвращении</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или об урегулировании конфликта</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интересов, неисполнение обязанностей,</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установленных в целях</w:t>
      </w:r>
    </w:p>
    <w:p w:rsidR="00617C44" w:rsidRPr="00617C44" w:rsidRDefault="00617C44">
      <w:pPr>
        <w:pStyle w:val="ConsPlusNormal"/>
        <w:jc w:val="right"/>
        <w:rPr>
          <w:rFonts w:ascii="Times New Roman" w:hAnsi="Times New Roman" w:cs="Times New Roman"/>
          <w:sz w:val="24"/>
          <w:szCs w:val="24"/>
        </w:rPr>
      </w:pPr>
      <w:r w:rsidRPr="00617C44">
        <w:rPr>
          <w:rFonts w:ascii="Times New Roman" w:hAnsi="Times New Roman" w:cs="Times New Roman"/>
          <w:sz w:val="24"/>
          <w:szCs w:val="24"/>
        </w:rPr>
        <w:t>противодействия коррупции</w:t>
      </w:r>
    </w:p>
    <w:p w:rsidR="00617C44" w:rsidRPr="00617C44" w:rsidRDefault="00617C44">
      <w:pPr>
        <w:pStyle w:val="ConsPlusNormal"/>
        <w:jc w:val="center"/>
        <w:rPr>
          <w:rFonts w:ascii="Times New Roman" w:hAnsi="Times New Roman" w:cs="Times New Roman"/>
          <w:sz w:val="24"/>
          <w:szCs w:val="24"/>
        </w:rPr>
      </w:pPr>
    </w:p>
    <w:p w:rsidR="00617C44" w:rsidRPr="00617C44" w:rsidRDefault="00617C44">
      <w:pPr>
        <w:pStyle w:val="ConsPlusNormal"/>
        <w:jc w:val="center"/>
        <w:rPr>
          <w:rFonts w:ascii="Times New Roman" w:hAnsi="Times New Roman" w:cs="Times New Roman"/>
          <w:sz w:val="24"/>
          <w:szCs w:val="24"/>
        </w:rPr>
      </w:pPr>
      <w:bookmarkStart w:id="8" w:name="P168"/>
      <w:bookmarkEnd w:id="8"/>
      <w:r w:rsidRPr="00617C44">
        <w:rPr>
          <w:rFonts w:ascii="Times New Roman" w:hAnsi="Times New Roman" w:cs="Times New Roman"/>
          <w:sz w:val="24"/>
          <w:szCs w:val="24"/>
        </w:rPr>
        <w:t>ПРИМЕРНЫЙ ПЕРЕЧЕНЬ</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СИТУАЦИЙ, КОТОРЫЕ МОГУТ БЫТЬ РАСЦЕНЕНЫ</w:t>
      </w:r>
    </w:p>
    <w:p w:rsidR="00617C44" w:rsidRPr="00617C44" w:rsidRDefault="00617C44">
      <w:pPr>
        <w:pStyle w:val="ConsPlusNormal"/>
        <w:jc w:val="center"/>
        <w:rPr>
          <w:rFonts w:ascii="Times New Roman" w:hAnsi="Times New Roman" w:cs="Times New Roman"/>
          <w:sz w:val="24"/>
          <w:szCs w:val="24"/>
        </w:rPr>
      </w:pPr>
      <w:r w:rsidRPr="00617C44">
        <w:rPr>
          <w:rFonts w:ascii="Times New Roman" w:hAnsi="Times New Roman" w:cs="Times New Roman"/>
          <w:sz w:val="24"/>
          <w:szCs w:val="24"/>
        </w:rPr>
        <w:t>КАК НЕСУЩЕСТВЕННЫЕ ПРОСТУПКИ</w:t>
      </w:r>
    </w:p>
    <w:p w:rsidR="00617C44" w:rsidRPr="00617C44" w:rsidRDefault="00617C44">
      <w:pPr>
        <w:pStyle w:val="ConsPlusNormal"/>
        <w:jc w:val="center"/>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 Общая величина всех доходов или величина остатка на счете в банке или иной кредитной организации, ошибочно не указанных в Справке, не превышает 10 000 рублей вследствие округления в большую или меньшую сторону величины дохода, остатка.</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2. Объект недвижимого имущества, находящийся в пользовании по договору социального найма, указан в разделе "Недвижимое имущество".</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3. Объект недвижимого имущества, который ранее указывался в разделе "Недвижимое имущество", фактически оказался объектом недвижимого имущества, находящимся в пользовании, в связи с членством в кооперативе (гаражном) либо оказался объектом, возведенном на соответствующем земельном участке, но регистрация такого объекта не осуществлена.</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4. Объект недвижимого имущества, который ранее указывался в разделе "Недвижимое имущество" (например, двухкомнатная квартира), фактически оказался двумя объектами недвижимого имущества (например, две однокомнатные квартиры).</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 xml:space="preserve">5. Не указаны сведения об имуществе, находящемся в долевой собственности </w:t>
      </w:r>
      <w:r w:rsidRPr="00617C44">
        <w:rPr>
          <w:rFonts w:ascii="Times New Roman" w:hAnsi="Times New Roman" w:cs="Times New Roman"/>
          <w:sz w:val="24"/>
          <w:szCs w:val="24"/>
        </w:rPr>
        <w:lastRenderedPageBreak/>
        <w:t>служащего и члена его семьи, при этом сведения о наличии такого имущества в собственности члена семьи указаны в Справке члена семьи.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6. Сведения об имуществе, принадлежащем супругам на праве совместной собственности, указаны только в справке одного из супругов либо в справке одного из супругов данные сведения указаны достоверно, а в справке другого - недостоверно.</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7. Площадь объекта недвижимого имущества указана некорректно, при этом величина ошибки не превышает 5% от реальной площади данного объекта (и как следствие является округлением в большую или меньшую сторону его площади) либо является технической ошибкой (опиской или опечаткой, например, когда "зеркально" отражены соседние цифры), допущенной при указании площади данного объекта.</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8. Не указаны сведения о транспортных средствах, рыночная стоимость которых не превышает 100 000 рублей, фактическое пользование данными транспортными средствами не осуществляется более 10 лет и (или) они были переданы третьим лицам по генеральной доверенности, а также о транспортных средствах, находящихся в угоне.</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9. Ошибки в наименовании вида транспортного средства и в наименовании места его регистрации (за исключением субъекта Российской Федерации).</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10. Не указаны сведения о находящихся в собственности ценных бумагах, при этом данные ценные бумаги не дают владельцу права на участие в управлении коммерческой организацией, приносимый ими доход не превышает сумму, равную 1 000 рублей в год, а их общая рыночная стоимость не превышает сумму 10 000 рублей.</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11. Не указаны сведения о банковских счетах, вкладах, остаток денежных средств на которых не превышает 10 000 рублей, при этом движение денежных средств по счету в отчетном периоде не осуществлялось.</w:t>
      </w:r>
    </w:p>
    <w:p w:rsidR="00617C44" w:rsidRPr="00617C44" w:rsidRDefault="00617C44">
      <w:pPr>
        <w:pStyle w:val="ConsPlusNormal"/>
        <w:ind w:firstLine="540"/>
        <w:jc w:val="both"/>
        <w:rPr>
          <w:rFonts w:ascii="Times New Roman" w:hAnsi="Times New Roman" w:cs="Times New Roman"/>
          <w:sz w:val="24"/>
          <w:szCs w:val="24"/>
        </w:rPr>
      </w:pPr>
      <w:r w:rsidRPr="00617C44">
        <w:rPr>
          <w:rFonts w:ascii="Times New Roman" w:hAnsi="Times New Roman" w:cs="Times New Roman"/>
          <w:sz w:val="24"/>
          <w:szCs w:val="24"/>
        </w:rPr>
        <w:t>12. Не указаны сведения о счете, открытом в банке, расположенном на территории Российской Федерации, который использовался в отчетном периоде только для совершения сделки по приобретению объекта недвижимого имущества и (или) транспортного средства, а также аренды банковской ячейки для этих сделок, если остаток средств на данном счете по состоянию на 31 декабря отчетного периода составлял менее 10 000 рублей и при этом сведения о совершенной сделке и (или) приобретенном имуществе указаны в соответствующем разделе Справки.</w:t>
      </w: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ind w:firstLine="540"/>
        <w:jc w:val="both"/>
        <w:rPr>
          <w:rFonts w:ascii="Times New Roman" w:hAnsi="Times New Roman" w:cs="Times New Roman"/>
          <w:sz w:val="24"/>
          <w:szCs w:val="24"/>
        </w:rPr>
      </w:pPr>
    </w:p>
    <w:p w:rsidR="00617C44" w:rsidRPr="00617C44" w:rsidRDefault="00617C44">
      <w:pPr>
        <w:pStyle w:val="ConsPlusNormal"/>
        <w:pBdr>
          <w:top w:val="single" w:sz="6" w:space="0" w:color="auto"/>
        </w:pBdr>
        <w:spacing w:before="100" w:after="100"/>
        <w:jc w:val="both"/>
        <w:rPr>
          <w:rFonts w:ascii="Times New Roman" w:hAnsi="Times New Roman" w:cs="Times New Roman"/>
          <w:sz w:val="24"/>
          <w:szCs w:val="24"/>
        </w:rPr>
      </w:pPr>
    </w:p>
    <w:bookmarkEnd w:id="0"/>
    <w:p w:rsidR="00E42DC7" w:rsidRPr="00617C44" w:rsidRDefault="00E42DC7">
      <w:pPr>
        <w:rPr>
          <w:rFonts w:ascii="Times New Roman" w:hAnsi="Times New Roman" w:cs="Times New Roman"/>
          <w:sz w:val="24"/>
          <w:szCs w:val="24"/>
        </w:rPr>
      </w:pPr>
    </w:p>
    <w:sectPr w:rsidR="00E42DC7" w:rsidRPr="00617C44" w:rsidSect="00921B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44"/>
    <w:rsid w:val="00617C44"/>
    <w:rsid w:val="00691DE3"/>
    <w:rsid w:val="008B483B"/>
    <w:rsid w:val="00C32A8D"/>
    <w:rsid w:val="00E42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A8D"/>
  </w:style>
  <w:style w:type="paragraph" w:styleId="1">
    <w:name w:val="heading 1"/>
    <w:basedOn w:val="a"/>
    <w:next w:val="a"/>
    <w:link w:val="10"/>
    <w:uiPriority w:val="9"/>
    <w:qFormat/>
    <w:rsid w:val="00C32A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32A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32A8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32A8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C32A8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C32A8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C32A8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32A8D"/>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C32A8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C32A8D"/>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C32A8D"/>
    <w:rPr>
      <w:rFonts w:asciiTheme="majorHAnsi" w:eastAsiaTheme="majorEastAsia" w:hAnsiTheme="majorHAnsi" w:cstheme="majorBidi"/>
      <w:color w:val="243F60" w:themeColor="accent1" w:themeShade="7F"/>
    </w:rPr>
  </w:style>
  <w:style w:type="paragraph" w:styleId="a3">
    <w:name w:val="Title"/>
    <w:basedOn w:val="a"/>
    <w:next w:val="a"/>
    <w:link w:val="a4"/>
    <w:qFormat/>
    <w:rsid w:val="00C32A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rsid w:val="00C32A8D"/>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uiPriority w:val="34"/>
    <w:qFormat/>
    <w:rsid w:val="00C32A8D"/>
    <w:pPr>
      <w:ind w:left="720"/>
      <w:contextualSpacing/>
    </w:pPr>
  </w:style>
  <w:style w:type="character" w:customStyle="1" w:styleId="10">
    <w:name w:val="Заголовок 1 Знак"/>
    <w:basedOn w:val="a0"/>
    <w:link w:val="1"/>
    <w:uiPriority w:val="9"/>
    <w:rsid w:val="00C32A8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C32A8D"/>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C32A8D"/>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C32A8D"/>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C32A8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32A8D"/>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C32A8D"/>
    <w:rPr>
      <w:rFonts w:asciiTheme="majorHAnsi" w:eastAsiaTheme="majorEastAsia" w:hAnsiTheme="majorHAnsi" w:cstheme="majorBidi"/>
      <w:i/>
      <w:iCs/>
      <w:color w:val="404040" w:themeColor="text1" w:themeTint="BF"/>
      <w:sz w:val="20"/>
      <w:szCs w:val="20"/>
    </w:rPr>
  </w:style>
  <w:style w:type="paragraph" w:styleId="a6">
    <w:name w:val="caption"/>
    <w:basedOn w:val="a"/>
    <w:next w:val="a"/>
    <w:uiPriority w:val="35"/>
    <w:semiHidden/>
    <w:unhideWhenUsed/>
    <w:qFormat/>
    <w:rsid w:val="00C32A8D"/>
    <w:pPr>
      <w:spacing w:line="240" w:lineRule="auto"/>
    </w:pPr>
    <w:rPr>
      <w:b/>
      <w:bCs/>
      <w:color w:val="4F81BD" w:themeColor="accent1"/>
      <w:sz w:val="18"/>
      <w:szCs w:val="18"/>
    </w:rPr>
  </w:style>
  <w:style w:type="paragraph" w:styleId="a7">
    <w:name w:val="Subtitle"/>
    <w:basedOn w:val="a"/>
    <w:next w:val="a"/>
    <w:link w:val="a8"/>
    <w:uiPriority w:val="11"/>
    <w:qFormat/>
    <w:rsid w:val="00C32A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C32A8D"/>
    <w:rPr>
      <w:rFonts w:asciiTheme="majorHAnsi" w:eastAsiaTheme="majorEastAsia" w:hAnsiTheme="majorHAnsi" w:cstheme="majorBidi"/>
      <w:i/>
      <w:iCs/>
      <w:color w:val="4F81BD" w:themeColor="accent1"/>
      <w:spacing w:val="15"/>
      <w:sz w:val="24"/>
      <w:szCs w:val="24"/>
    </w:rPr>
  </w:style>
  <w:style w:type="character" w:styleId="a9">
    <w:name w:val="Strong"/>
    <w:basedOn w:val="a0"/>
    <w:uiPriority w:val="22"/>
    <w:qFormat/>
    <w:rsid w:val="00C32A8D"/>
    <w:rPr>
      <w:b/>
      <w:bCs/>
    </w:rPr>
  </w:style>
  <w:style w:type="character" w:styleId="aa">
    <w:name w:val="Emphasis"/>
    <w:basedOn w:val="a0"/>
    <w:uiPriority w:val="20"/>
    <w:qFormat/>
    <w:rsid w:val="00C32A8D"/>
    <w:rPr>
      <w:i/>
      <w:iCs/>
    </w:rPr>
  </w:style>
  <w:style w:type="paragraph" w:styleId="ab">
    <w:name w:val="No Spacing"/>
    <w:uiPriority w:val="1"/>
    <w:qFormat/>
    <w:rsid w:val="00C32A8D"/>
    <w:pPr>
      <w:spacing w:after="0" w:line="240" w:lineRule="auto"/>
    </w:pPr>
  </w:style>
  <w:style w:type="paragraph" w:styleId="21">
    <w:name w:val="Quote"/>
    <w:basedOn w:val="a"/>
    <w:next w:val="a"/>
    <w:link w:val="22"/>
    <w:uiPriority w:val="29"/>
    <w:qFormat/>
    <w:rsid w:val="00C32A8D"/>
    <w:rPr>
      <w:i/>
      <w:iCs/>
      <w:color w:val="000000" w:themeColor="text1"/>
    </w:rPr>
  </w:style>
  <w:style w:type="character" w:customStyle="1" w:styleId="22">
    <w:name w:val="Цитата 2 Знак"/>
    <w:basedOn w:val="a0"/>
    <w:link w:val="21"/>
    <w:uiPriority w:val="29"/>
    <w:rsid w:val="00C32A8D"/>
    <w:rPr>
      <w:i/>
      <w:iCs/>
      <w:color w:val="000000" w:themeColor="text1"/>
    </w:rPr>
  </w:style>
  <w:style w:type="paragraph" w:styleId="ac">
    <w:name w:val="Intense Quote"/>
    <w:basedOn w:val="a"/>
    <w:next w:val="a"/>
    <w:link w:val="ad"/>
    <w:uiPriority w:val="30"/>
    <w:qFormat/>
    <w:rsid w:val="00C32A8D"/>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C32A8D"/>
    <w:rPr>
      <w:b/>
      <w:bCs/>
      <w:i/>
      <w:iCs/>
      <w:color w:val="4F81BD" w:themeColor="accent1"/>
    </w:rPr>
  </w:style>
  <w:style w:type="character" w:styleId="ae">
    <w:name w:val="Subtle Emphasis"/>
    <w:basedOn w:val="a0"/>
    <w:uiPriority w:val="19"/>
    <w:qFormat/>
    <w:rsid w:val="00C32A8D"/>
    <w:rPr>
      <w:i/>
      <w:iCs/>
      <w:color w:val="808080" w:themeColor="text1" w:themeTint="7F"/>
    </w:rPr>
  </w:style>
  <w:style w:type="character" w:styleId="af">
    <w:name w:val="Intense Emphasis"/>
    <w:basedOn w:val="a0"/>
    <w:uiPriority w:val="21"/>
    <w:qFormat/>
    <w:rsid w:val="00C32A8D"/>
    <w:rPr>
      <w:b/>
      <w:bCs/>
      <w:i/>
      <w:iCs/>
      <w:color w:val="4F81BD" w:themeColor="accent1"/>
    </w:rPr>
  </w:style>
  <w:style w:type="character" w:styleId="af0">
    <w:name w:val="Subtle Reference"/>
    <w:basedOn w:val="a0"/>
    <w:uiPriority w:val="31"/>
    <w:qFormat/>
    <w:rsid w:val="00C32A8D"/>
    <w:rPr>
      <w:smallCaps/>
      <w:color w:val="C0504D" w:themeColor="accent2"/>
      <w:u w:val="single"/>
    </w:rPr>
  </w:style>
  <w:style w:type="character" w:styleId="af1">
    <w:name w:val="Intense Reference"/>
    <w:basedOn w:val="a0"/>
    <w:uiPriority w:val="32"/>
    <w:qFormat/>
    <w:rsid w:val="00C32A8D"/>
    <w:rPr>
      <w:b/>
      <w:bCs/>
      <w:smallCaps/>
      <w:color w:val="C0504D" w:themeColor="accent2"/>
      <w:spacing w:val="5"/>
      <w:u w:val="single"/>
    </w:rPr>
  </w:style>
  <w:style w:type="character" w:styleId="af2">
    <w:name w:val="Book Title"/>
    <w:basedOn w:val="a0"/>
    <w:uiPriority w:val="33"/>
    <w:qFormat/>
    <w:rsid w:val="00C32A8D"/>
    <w:rPr>
      <w:b/>
      <w:bCs/>
      <w:smallCaps/>
      <w:spacing w:val="5"/>
    </w:rPr>
  </w:style>
  <w:style w:type="paragraph" w:styleId="af3">
    <w:name w:val="TOC Heading"/>
    <w:basedOn w:val="1"/>
    <w:next w:val="a"/>
    <w:uiPriority w:val="39"/>
    <w:semiHidden/>
    <w:unhideWhenUsed/>
    <w:qFormat/>
    <w:rsid w:val="00C32A8D"/>
    <w:pPr>
      <w:outlineLvl w:val="9"/>
    </w:pPr>
  </w:style>
  <w:style w:type="paragraph" w:customStyle="1" w:styleId="ConsPlusNormal">
    <w:name w:val="ConsPlusNormal"/>
    <w:rsid w:val="00617C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7C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17C4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A8D"/>
  </w:style>
  <w:style w:type="paragraph" w:styleId="1">
    <w:name w:val="heading 1"/>
    <w:basedOn w:val="a"/>
    <w:next w:val="a"/>
    <w:link w:val="10"/>
    <w:uiPriority w:val="9"/>
    <w:qFormat/>
    <w:rsid w:val="00C32A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32A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32A8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32A8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C32A8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C32A8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C32A8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32A8D"/>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C32A8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C32A8D"/>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C32A8D"/>
    <w:rPr>
      <w:rFonts w:asciiTheme="majorHAnsi" w:eastAsiaTheme="majorEastAsia" w:hAnsiTheme="majorHAnsi" w:cstheme="majorBidi"/>
      <w:color w:val="243F60" w:themeColor="accent1" w:themeShade="7F"/>
    </w:rPr>
  </w:style>
  <w:style w:type="paragraph" w:styleId="a3">
    <w:name w:val="Title"/>
    <w:basedOn w:val="a"/>
    <w:next w:val="a"/>
    <w:link w:val="a4"/>
    <w:qFormat/>
    <w:rsid w:val="00C32A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rsid w:val="00C32A8D"/>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uiPriority w:val="34"/>
    <w:qFormat/>
    <w:rsid w:val="00C32A8D"/>
    <w:pPr>
      <w:ind w:left="720"/>
      <w:contextualSpacing/>
    </w:pPr>
  </w:style>
  <w:style w:type="character" w:customStyle="1" w:styleId="10">
    <w:name w:val="Заголовок 1 Знак"/>
    <w:basedOn w:val="a0"/>
    <w:link w:val="1"/>
    <w:uiPriority w:val="9"/>
    <w:rsid w:val="00C32A8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C32A8D"/>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C32A8D"/>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C32A8D"/>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C32A8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32A8D"/>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C32A8D"/>
    <w:rPr>
      <w:rFonts w:asciiTheme="majorHAnsi" w:eastAsiaTheme="majorEastAsia" w:hAnsiTheme="majorHAnsi" w:cstheme="majorBidi"/>
      <w:i/>
      <w:iCs/>
      <w:color w:val="404040" w:themeColor="text1" w:themeTint="BF"/>
      <w:sz w:val="20"/>
      <w:szCs w:val="20"/>
    </w:rPr>
  </w:style>
  <w:style w:type="paragraph" w:styleId="a6">
    <w:name w:val="caption"/>
    <w:basedOn w:val="a"/>
    <w:next w:val="a"/>
    <w:uiPriority w:val="35"/>
    <w:semiHidden/>
    <w:unhideWhenUsed/>
    <w:qFormat/>
    <w:rsid w:val="00C32A8D"/>
    <w:pPr>
      <w:spacing w:line="240" w:lineRule="auto"/>
    </w:pPr>
    <w:rPr>
      <w:b/>
      <w:bCs/>
      <w:color w:val="4F81BD" w:themeColor="accent1"/>
      <w:sz w:val="18"/>
      <w:szCs w:val="18"/>
    </w:rPr>
  </w:style>
  <w:style w:type="paragraph" w:styleId="a7">
    <w:name w:val="Subtitle"/>
    <w:basedOn w:val="a"/>
    <w:next w:val="a"/>
    <w:link w:val="a8"/>
    <w:uiPriority w:val="11"/>
    <w:qFormat/>
    <w:rsid w:val="00C32A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C32A8D"/>
    <w:rPr>
      <w:rFonts w:asciiTheme="majorHAnsi" w:eastAsiaTheme="majorEastAsia" w:hAnsiTheme="majorHAnsi" w:cstheme="majorBidi"/>
      <w:i/>
      <w:iCs/>
      <w:color w:val="4F81BD" w:themeColor="accent1"/>
      <w:spacing w:val="15"/>
      <w:sz w:val="24"/>
      <w:szCs w:val="24"/>
    </w:rPr>
  </w:style>
  <w:style w:type="character" w:styleId="a9">
    <w:name w:val="Strong"/>
    <w:basedOn w:val="a0"/>
    <w:uiPriority w:val="22"/>
    <w:qFormat/>
    <w:rsid w:val="00C32A8D"/>
    <w:rPr>
      <w:b/>
      <w:bCs/>
    </w:rPr>
  </w:style>
  <w:style w:type="character" w:styleId="aa">
    <w:name w:val="Emphasis"/>
    <w:basedOn w:val="a0"/>
    <w:uiPriority w:val="20"/>
    <w:qFormat/>
    <w:rsid w:val="00C32A8D"/>
    <w:rPr>
      <w:i/>
      <w:iCs/>
    </w:rPr>
  </w:style>
  <w:style w:type="paragraph" w:styleId="ab">
    <w:name w:val="No Spacing"/>
    <w:uiPriority w:val="1"/>
    <w:qFormat/>
    <w:rsid w:val="00C32A8D"/>
    <w:pPr>
      <w:spacing w:after="0" w:line="240" w:lineRule="auto"/>
    </w:pPr>
  </w:style>
  <w:style w:type="paragraph" w:styleId="21">
    <w:name w:val="Quote"/>
    <w:basedOn w:val="a"/>
    <w:next w:val="a"/>
    <w:link w:val="22"/>
    <w:uiPriority w:val="29"/>
    <w:qFormat/>
    <w:rsid w:val="00C32A8D"/>
    <w:rPr>
      <w:i/>
      <w:iCs/>
      <w:color w:val="000000" w:themeColor="text1"/>
    </w:rPr>
  </w:style>
  <w:style w:type="character" w:customStyle="1" w:styleId="22">
    <w:name w:val="Цитата 2 Знак"/>
    <w:basedOn w:val="a0"/>
    <w:link w:val="21"/>
    <w:uiPriority w:val="29"/>
    <w:rsid w:val="00C32A8D"/>
    <w:rPr>
      <w:i/>
      <w:iCs/>
      <w:color w:val="000000" w:themeColor="text1"/>
    </w:rPr>
  </w:style>
  <w:style w:type="paragraph" w:styleId="ac">
    <w:name w:val="Intense Quote"/>
    <w:basedOn w:val="a"/>
    <w:next w:val="a"/>
    <w:link w:val="ad"/>
    <w:uiPriority w:val="30"/>
    <w:qFormat/>
    <w:rsid w:val="00C32A8D"/>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C32A8D"/>
    <w:rPr>
      <w:b/>
      <w:bCs/>
      <w:i/>
      <w:iCs/>
      <w:color w:val="4F81BD" w:themeColor="accent1"/>
    </w:rPr>
  </w:style>
  <w:style w:type="character" w:styleId="ae">
    <w:name w:val="Subtle Emphasis"/>
    <w:basedOn w:val="a0"/>
    <w:uiPriority w:val="19"/>
    <w:qFormat/>
    <w:rsid w:val="00C32A8D"/>
    <w:rPr>
      <w:i/>
      <w:iCs/>
      <w:color w:val="808080" w:themeColor="text1" w:themeTint="7F"/>
    </w:rPr>
  </w:style>
  <w:style w:type="character" w:styleId="af">
    <w:name w:val="Intense Emphasis"/>
    <w:basedOn w:val="a0"/>
    <w:uiPriority w:val="21"/>
    <w:qFormat/>
    <w:rsid w:val="00C32A8D"/>
    <w:rPr>
      <w:b/>
      <w:bCs/>
      <w:i/>
      <w:iCs/>
      <w:color w:val="4F81BD" w:themeColor="accent1"/>
    </w:rPr>
  </w:style>
  <w:style w:type="character" w:styleId="af0">
    <w:name w:val="Subtle Reference"/>
    <w:basedOn w:val="a0"/>
    <w:uiPriority w:val="31"/>
    <w:qFormat/>
    <w:rsid w:val="00C32A8D"/>
    <w:rPr>
      <w:smallCaps/>
      <w:color w:val="C0504D" w:themeColor="accent2"/>
      <w:u w:val="single"/>
    </w:rPr>
  </w:style>
  <w:style w:type="character" w:styleId="af1">
    <w:name w:val="Intense Reference"/>
    <w:basedOn w:val="a0"/>
    <w:uiPriority w:val="32"/>
    <w:qFormat/>
    <w:rsid w:val="00C32A8D"/>
    <w:rPr>
      <w:b/>
      <w:bCs/>
      <w:smallCaps/>
      <w:color w:val="C0504D" w:themeColor="accent2"/>
      <w:spacing w:val="5"/>
      <w:u w:val="single"/>
    </w:rPr>
  </w:style>
  <w:style w:type="character" w:styleId="af2">
    <w:name w:val="Book Title"/>
    <w:basedOn w:val="a0"/>
    <w:uiPriority w:val="33"/>
    <w:qFormat/>
    <w:rsid w:val="00C32A8D"/>
    <w:rPr>
      <w:b/>
      <w:bCs/>
      <w:smallCaps/>
      <w:spacing w:val="5"/>
    </w:rPr>
  </w:style>
  <w:style w:type="paragraph" w:styleId="af3">
    <w:name w:val="TOC Heading"/>
    <w:basedOn w:val="1"/>
    <w:next w:val="a"/>
    <w:uiPriority w:val="39"/>
    <w:semiHidden/>
    <w:unhideWhenUsed/>
    <w:qFormat/>
    <w:rsid w:val="00C32A8D"/>
    <w:pPr>
      <w:outlineLvl w:val="9"/>
    </w:pPr>
  </w:style>
  <w:style w:type="paragraph" w:customStyle="1" w:styleId="ConsPlusNormal">
    <w:name w:val="ConsPlusNormal"/>
    <w:rsid w:val="00617C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7C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17C4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219B6BA4E1003E1DCF14B3FD6874C374258244360F7A3907A1B344B527D00EC952DEC5C3718BEB2EJ5K" TargetMode="External"/><Relationship Id="rId3" Type="http://schemas.openxmlformats.org/officeDocument/2006/relationships/settings" Target="settings.xml"/><Relationship Id="rId7" Type="http://schemas.openxmlformats.org/officeDocument/2006/relationships/hyperlink" Target="consultantplus://offline/ref=17219B6BA4E1003E1DCF14B3FD6874C3742588413C0C7A3907A1B344B522J7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7219B6BA4E1003E1DCF14B3FD6874C374258245370F7A3907A1B344B527D00EC952DEC5C3718BEB2EJ3K" TargetMode="External"/><Relationship Id="rId5" Type="http://schemas.openxmlformats.org/officeDocument/2006/relationships/hyperlink" Target="consultantplus://offline/ref=17219B6BA4E1003E1DCF14B3FD6874C3742A8D4536077A3907A1B344B527D00EC952DEC5C37189E92EJ1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3520</Words>
  <Characters>20066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Ханнанов Олег Александрович</dc:creator>
  <cp:lastModifiedBy>Ханнанов Олег Александрович</cp:lastModifiedBy>
  <cp:revision>1</cp:revision>
  <dcterms:created xsi:type="dcterms:W3CDTF">2015-12-15T10:09:00Z</dcterms:created>
  <dcterms:modified xsi:type="dcterms:W3CDTF">2015-12-15T10:10:00Z</dcterms:modified>
</cp:coreProperties>
</file>